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Rozhodnutí o poskytnutí podpory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ff0000"/>
        </w:rPr>
      </w:pPr>
      <w:bookmarkStart w:colFirst="0" w:colLast="0" w:name="_heading=h.tt7k70lzs8q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ff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Poskytovatel informuje, že ke dni 24.2.2023 byl do článku 4 Specifické podmínky Rozhodnutí o poskytnutí podpory přidán nový odstavec doplňující článek 17 Všeobecných podmínek.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ff0000"/>
        </w:rPr>
      </w:pPr>
      <w:bookmarkStart w:colFirst="0" w:colLast="0" w:name="_heading=h.308ntd9zrsi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Česká republika – Technologická agentura České republiky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Evropská 1692/37, 160 00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72050365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zastoupená: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………., předsedou/předsedkyní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TA 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bankovní spojení: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Česká národní banka, Na Příkopě 28, Praha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běžný výdajový účet: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000-3125001/0710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jako poskytovatel účelové podpory (dále jen „Poskytovatel“),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vydává níže uvedeného dne, měsíce a roku podle ustanovení § 9 zákona č. 130/2002 Sb., o podpoře výzkumu, experimentálního vývoje a inovací z veřejných prostředků a o změně některých souvisejících zákonů (zákon o podpoře výzkumu, experimentálního vývoje a inovací), ve znění pozdějších předpisů (dále jen „ZPVV“), a podle zákona č. 218/2000 Sb., o rozpočtových pravidlech a o změně některých souvisejících zákonů (rozpočtová pravidla), toto</w:t>
      </w:r>
    </w:p>
    <w:p w:rsidR="00000000" w:rsidDel="00000000" w:rsidP="00000000" w:rsidRDefault="00000000" w:rsidRPr="00000000" w14:paraId="0000000D">
      <w:pPr>
        <w:spacing w:befor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Rozhodnutí o poskytnutí účelové podpory formou dotace z výdajů státního rozpočtu na výzkum, vývoj a inovace na řešení části programového projektu č.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„Rozhodnutí“)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[organizaci]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se sídlem 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IČO: XXXXXXXX, DIČ: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zastoupená: XXXXXXXX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kontaktní osoba: XXXXXXXX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, řešitel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bankovní spojení: XXXXXXXX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číslo účtu: 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jako hlavnímu příjemci / dalšímu účastníku projektu (dále jen „Příjemce“)</w:t>
      </w:r>
    </w:p>
    <w:p w:rsidR="00000000" w:rsidDel="00000000" w:rsidP="00000000" w:rsidRDefault="00000000" w:rsidRPr="00000000" w14:paraId="00000018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Preambule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Posyktovatel přijal návrh projektu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názvem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mezinárodní výzvy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vyhlášené konsorciem poskytovatelů v ERA-NET Cofundu / Evropském partnerství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přičemž hlavní příjemce bude financován z následujícího programu: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Návrh projektu byl kvalitativně vyhodnocen na mezinárodní úrovni. Po kontrole způsobilosti na mezinárodní i národní úrovni prošel návrh projektu hodnocením mezinárodního hodnotícího orgánu, na základě kterého konsorcium poskytovatelů s ohledem na výši finanční alokace rozhodlo o finálním seznamu projektů vybraných k podpoře. Na základě tohoto finálního seznamu v souladu s § 7 odst. 4 ZPVV vydal poskytovatel rozhodnutí o poskytnutí podpory projektům vybraným na mezinárodní úrovni hlavnímu českému uchazeči v projektu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V souladu s § 9 ZPVV proto Poskytovatel vydává toto Rozhodnutí. Veškeré pojmy použité v Rozhodnutí definujeme ve Všeobecných podmínkách.</w:t>
      </w:r>
    </w:p>
    <w:p w:rsidR="00000000" w:rsidDel="00000000" w:rsidP="00000000" w:rsidRDefault="00000000" w:rsidRPr="00000000" w14:paraId="0000001A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Předmět Rozhodnutí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Předmětem Rozhodnutí je poskytnutí účelové podpory Příjemci za účelem jejího využití na dosažení deklarovaných výsledků a cílů projektu a současně povinnost Příjemce použít tuto podporu a řešit projekt v souladu s pravidly poskytnutí podpory a přílohou Závazné parametry řešení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Účelem podpory je dosažení stanovených cílů projektu, tj. cílů uvedených v příloze Závazné parametry řešení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Podporu poskytneme formou zvýšení výdajů organizační složky státu, která je Příjemcem, ve smyslu § 4 odst. 1 ZPVV.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Výše poskytnuté podpory a uznaných nákladů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výše podpory činí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Kč (slovy: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korun českých), což je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z maximální výše uznaných nákladů.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výše uznaných nákladů projektu činí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Kč (slovy: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korun českých).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Maximální možná intenzita podpory na celý projekt je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% uznaných nákladů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Související dokumenty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leader="none" w:pos="567"/>
          <w:tab w:val="left" w:leader="none" w:pos="709"/>
        </w:tabs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Nedílnou součástí Rozhodnutí je příloha Závazné parametry řešení projektu, která je Schváleným návrhem projektu ve smyslu § 9 odst. 2 ZPVV., Závazné parametry řešení projektu obsahují označení hlavního příjemce a dalších účastníků, jméno, příjmení a případné akademické tituly a vědecké hodnosti řešitele, časový plán řešení projektu včetně termínu zahájení a ukončení řešení projektu, cíle projektu, deklarované výsledky projektu, a jejíž součástí je tabulka uznaných nákladů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leader="none" w:pos="567"/>
          <w:tab w:val="left" w:leader="none" w:pos="709"/>
        </w:tabs>
        <w:ind w:left="357" w:hanging="357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Další podmínky poskytnutí podpory a řešení projektu uvádíme ve Všeobecných podmínkách (verze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které jsou dostupné na našich webových stránkách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leader="none" w:pos="567"/>
          <w:tab w:val="left" w:leader="none" w:pos="709"/>
        </w:tabs>
        <w:ind w:left="357" w:hanging="357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Obsahuje-li Rozhodnutí úpravu odlišnou od Všeobecných podmínek či Závazných parametrů řešení projektu, použijeme přednostně ustanovení Rozhodnutí, dále ustanovení Všeobecných podmínek a dále Závazných parametrů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4</w:t>
      </w:r>
      <w:r w:rsidDel="00000000" w:rsidR="00000000" w:rsidRPr="00000000">
        <w:rPr>
          <w:rtl w:val="0"/>
        </w:rPr>
      </w:r>
    </w:p>
    <w:bookmarkStart w:colFirst="0" w:colLast="0" w:name="bookmark=id.gjdgxs" w:id="3"/>
    <w:bookmarkEnd w:id="3"/>
    <w:p w:rsidR="00000000" w:rsidDel="00000000" w:rsidP="00000000" w:rsidRDefault="00000000" w:rsidRPr="00000000" w14:paraId="0000002A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Specifické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before="240" w:lineRule="auto"/>
        <w:ind w:left="425" w:right="-182" w:hanging="4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Účelem tohoto článku je stanovit další podmínky, které jsou specifické pro výše uvedenou mezinárodní výzvu, a to nad rámec Všeobecných podmínek.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Uvádí-li Všeobecné podmínky či související dokumenty pojem “veřejná soutěž”, pro potřeby projektu financovaného prostřednictvím mezinárodních výzev se jedná o mezinárodní výzvu definovanou v čl. 4 odst. 4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má Hlavní příjemce povinnost dle zákona č. 563/1991 Sb., o účetnictví zveřejňovat účetní závěrku v příslušném rejstříku ve smyslu zákona č. 304/2013 Sb., o veřejných rejstřících právnických a fyzických osob, a to po celou dobu řešení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120" w:lineRule="auto"/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Článek 2 Všeobecných podmínek „Vymezení pojmů” se doplňuje o tyto pojmy: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0" w:lineRule="auto"/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„Zahraničním partnerem” se rozumí právnická osoba zabývající se výzkumem a vývojem, která se podílí na řešení projektu bez nároku na podporu z programu financování, jejíž účast na projektu je vymezena v návrhu projektu a s níž příjemce uzavřel příslušnou smlouvu (např. je rovněž jednou ze stran smlouvy o účasti na řešení projektu).</w:t>
      </w:r>
    </w:p>
    <w:p w:rsidR="00000000" w:rsidDel="00000000" w:rsidP="00000000" w:rsidRDefault="00000000" w:rsidRPr="00000000" w14:paraId="00000030">
      <w:pPr>
        <w:ind w:left="8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„Mezinárodní výzvou” se rozumí výzva, kterou společně vyhlašuje konsorcium poskytovatelů daného ERA-NET Cofundu/Evropského partnerství. Do výzvy předkládají projekty konsorcia mezinárodních partnerů, přičemž každý poskytovatel financuje své národní úspěšné uchazeče ve výzvě.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má Hlavní příjemce povinnost mít uzavřenou příslušnou konsorciální smlouvu (Consortium Agreement) se zahraničním partnerem, přičemž je možné, aby zahraniční partner byl jednou ze smluvních stran Smlouvy o účasti na řešení projektu, aniž by byl v roli dalšího účastníka. Čl. 6 Všeobecných podmínek „Smlouva o účasti na řešení projektu” a související ustanovení se použijí i pro konsorciální smlouvu se zahraničním partnerem s výjimkou odst. 2 písm. c) a d). Konsorciální smlouva musí být v anglickém jazyce.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120" w:lineRule="auto"/>
        <w:ind w:left="425" w:right="-182" w:hanging="425"/>
        <w:rPr/>
      </w:pPr>
      <w:bookmarkStart w:colFirst="0" w:colLast="0" w:name="_heading=h.30j0zll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 Čl. 11 Všeobecných podmínek se doplňuje o nový odst. 5,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Příjemce je povinen přispívat k průběžným mezinárodním zprávám o pokroku projektu a závěrečné zprávě podle požadavků koordinátora konsorcia projektu (dále jako „koordinátor”), přičemž koordinátorem může být i příjemce. Koordinátor je odpovědný za předkládání těchto zpráv sekretariátu výzvy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četnosti stanovené v oficiálních dokumentech výzvy, přičemž koordinátor obdrží včas požadované šablony zpráv od sekretariátu výzvy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 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které poskytne příjemci k vyplnění.”</w:t>
      </w:r>
    </w:p>
    <w:p w:rsidR="00000000" w:rsidDel="00000000" w:rsidP="00000000" w:rsidRDefault="00000000" w:rsidRPr="00000000" w14:paraId="00000034">
      <w:pPr>
        <w:keepNext w:val="1"/>
        <w:keepLines w:val="1"/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Dle Všeobecných podmínek čl. 7 odst. 1 písm. d) lze smlouvu vypovědět, jestliže dojde ke krácení financí ze státního rozpočtu, regulaci čerpání st. rozpočtu aj. U mezinárodních výzev se čl. 7 odst. 1 písm. d) vztahuje také na případy, kdy prostředky, které pocházejí od zahraničních poskytovatelů, nebudou na řešení zahraničním partnerům poskytnuty vůbec nebo budou poskytnuty v nižším objemu, než bylo původně stanoveno.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Čl. 14 Všeobecných podmínek se doplňuje o nový odst. 5,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850.3937007874017" w:right="56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„Smlouva o využití výsledku musí být uzavřena v anglickém jazyce.“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Čl. 17 Všeobecných podmínek se doplňuje o nový odst. 11,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right="56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„Za uznaný náklad se nepovažuje plnění poskytnuté mezi hlavním příjemcem či dalšími účastníky a zahraničním partnerem projektu.“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425"/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Čl. 17 Všeobecných podmínek se doplňuje o nový odst. 12, který zní: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50" w:right="56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„Náklady se zdanitelným plněním po 30. 6. 2026 nebudou považovány za uznané.“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425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Poskytovatel se zavazuje poskytnout podporu v každém roce řešení ve výši uvedené v Závazných  parametrech řešení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right="56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60 kalendářních dnů ode dne nabytí účinnosti Smlouvy a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1440" w:right="56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víceletých projektů pro druhý a každý následující rok řešení do 60 kalendářních dnů od začátku příslušného kalendářního roku.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425" w:right="566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předložit Poskytovateli nejpozději společně s první průběžnou zprávou Plán správy dat, pravidelně ho aktualizovat a aktualizovanou verzi Plánu správy dat předkládat jako součást průběžné a závěrečné zprávy.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425" w:right="566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dále Příjemce povinen předávat Poskytovateli v průběhu realizace projektu informace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 dostupnosti a způsobu šíření výsledků výzkumu a výzkumných dat, pokud byly vytvořeny za podpory z veřejných prostředků podle tohoto zákona, v souladu se zásadou, že výsledky výzkumu a výzkumná data nejsou zveřejňovány pouze v odůvodněných případech.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425" w:right="566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dodržovat během realizace projektu zásadu "významně nepoškozovat" ve smyslu článku 17 Nařízení Evropského parlamentu a Rady (EU) 2020/852 ze dne 18. června 2020 o zřízení rámce pro usnadnění udržitelných investic a o změně nařízení (EU) 2019/2088, tzn. nesmí dojít k porušení ani jednoho z šesti environmentálních cílů a výsledky projektu budou na úrovni uplatňování technologicky neutrální.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425" w:right="-182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Čl. 4 odst. 2 písm. c) Všeobecných podmínek se mění takto: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“při prezentaci informací o řešeném projektu s podporou TA ČR či o jeho výsledcích v hromadných sdělovacích prostředcích či jiným způsobem, informovat přiměřeným způsobem o tom, že projekt byl realizován za finanční podpory TA ČR, a to na všech propagačních materiálech i ve všech typech médií, které se k projektu či jeho výsledkům a výstupům vztahují, a to v souladu s podmínkami vizuální identity uveřejněnými na webových stránkách poskytovatele, a též v souladu s podmínkami vizuální identity stanovenými v Metodickém pokynu pro publicitu a komunikaci pro Národní plán obnovy na období 2021–2026.”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425" w:right="-182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 rámec Všeobecných podmínek je příjemce povinen učinit veškerá opatření, aby nevznikl střet zájmů ve smyslu článku 61 Nařízení Evropského parlamentu a Rady (EU) 2018/1046 ze dne 18. července 2018, a pokud taková situace nastane, je povinen tuto skutečnost neprodleně oznámit poskytovateli.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425" w:right="-182" w:hanging="425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Čl. 17 odst. 8 Všeobecných podmínek se nahrazuje tímto: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50" w:right="-18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“Daň z přidané hodnoty dle zákona č. 235/2004 Sb., o dani z přidané hodnoty není v této veřejné soutěži uznaný náklad, ani pro neplátce DPH.”</w:t>
      </w:r>
    </w:p>
    <w:p w:rsidR="00000000" w:rsidDel="00000000" w:rsidP="00000000" w:rsidRDefault="00000000" w:rsidRPr="00000000" w14:paraId="00000046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Článek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leader="none" w:pos="567"/>
          <w:tab w:val="left" w:leader="none" w:pos="709"/>
        </w:tabs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Rozhodnutí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nabývá právní moci a vykonatelnosti dnem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jeho doručení Příjemci.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leader="none" w:pos="567"/>
          <w:tab w:val="left" w:leader="none" w:pos="709"/>
        </w:tabs>
        <w:ind w:left="36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Rozhodnutí vydáváme na dobu určitou, a to do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6"/>
          <w:numId w:val="3"/>
        </w:numPr>
        <w:spacing w:before="0" w:line="240" w:lineRule="auto"/>
        <w:ind w:left="5040" w:firstLine="147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1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9"/>
        <w:gridCol w:w="4820"/>
        <w:tblGridChange w:id="0">
          <w:tblGrid>
            <w:gridCol w:w="4819"/>
            <w:gridCol w:w="4820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40" w:before="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 Praze dne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DD. MM. RRRR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40" w:before="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40" w:before="40" w:lineRule="auto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předseda/předsedkyně TA ČR</w:t>
            </w:r>
          </w:p>
        </w:tc>
      </w:tr>
    </w:tbl>
    <w:bookmarkStart w:colFirst="0" w:colLast="0" w:name="bookmark=id.1fob9te" w:id="5"/>
    <w:bookmarkEnd w:id="5"/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rPr>
        <w:rFonts w:ascii="Calibri" w:cs="Calibri" w:eastAsia="Calibri" w:hAnsi="Calibri"/>
        <w:sz w:val="16"/>
        <w:szCs w:val="16"/>
      </w:rPr>
    </w:pPr>
    <w:bookmarkStart w:colFirst="0" w:colLast="0" w:name="_heading=h.3znysh7" w:id="6"/>
    <w:bookmarkEnd w:id="6"/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F-353, verze 4</w:t>
      <w:tab/>
      <w:t xml:space="preserve">Strana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ab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Veřejný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leader="none" w:pos="4536"/>
        <w:tab w:val="right" w:leader="none" w:pos="9072"/>
      </w:tabs>
      <w:spacing w:before="1134" w:line="240" w:lineRule="auto"/>
      <w:jc w:val="right"/>
      <w:rPr/>
    </w:pPr>
    <w:r w:rsidDel="00000000" w:rsidR="00000000" w:rsidRPr="00000000">
      <w:rPr>
        <w:b w:val="1"/>
        <w:sz w:val="16"/>
        <w:szCs w:val="16"/>
        <w:rtl w:val="0"/>
      </w:rPr>
      <w:t xml:space="preserve">Rozhodnutí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1641955</wp:posOffset>
          </wp:positionH>
          <wp:positionV relativeFrom="paragraph">
            <wp:posOffset>190500</wp:posOffset>
          </wp:positionV>
          <wp:extent cx="2476800" cy="73807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800" cy="7380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-892165</wp:posOffset>
          </wp:positionH>
          <wp:positionV relativeFrom="paragraph">
            <wp:posOffset>-441952</wp:posOffset>
          </wp:positionV>
          <wp:extent cx="1439545" cy="1439545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tabs>
        <w:tab w:val="center" w:leader="none" w:pos="4536"/>
        <w:tab w:val="right" w:leader="none" w:pos="9072"/>
      </w:tabs>
      <w:spacing w:before="0" w:line="240" w:lineRule="auto"/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Číslo rozhodnutí: 20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highlight w:val="yellow"/>
        <w:rtl w:val="0"/>
      </w:rPr>
      <w:t xml:space="preserve">XXxxxx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leader="none" w:pos="4536"/>
        <w:tab w:val="right" w:leader="none" w:pos="9072"/>
      </w:tabs>
      <w:spacing w:before="0" w:line="240" w:lineRule="auto"/>
      <w:jc w:val="righ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ascii="Calibri" w:cs="Calibri" w:eastAsia="Calibri" w:hAnsi="Calibri"/>
        <w:b w:val="1"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ascii="Calibri" w:cs="Calibri" w:eastAsia="Calibri" w:hAnsi="Calibri"/>
        <w:b w:val="1"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360" w:firstLine="1080"/>
      </w:pPr>
      <w:rPr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92" w:firstLine="907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425" w:hanging="425"/>
      </w:pPr>
      <w:rPr>
        <w:rFonts w:ascii="Calibri" w:cs="Calibri" w:eastAsia="Calibri" w:hAnsi="Calibri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/>
    </w:lvl>
    <w:lvl w:ilvl="2">
      <w:start w:val="1"/>
      <w:numFmt w:val="lowerRoman"/>
      <w:lvlText w:val="%3."/>
      <w:lvlJc w:val="right"/>
      <w:pPr>
        <w:ind w:left="1620" w:hanging="180"/>
      </w:pPr>
      <w:rPr/>
    </w:lvl>
    <w:lvl w:ilvl="3">
      <w:start w:val="1"/>
      <w:numFmt w:val="decimal"/>
      <w:lvlText w:val="%4."/>
      <w:lvlJc w:val="left"/>
      <w:pPr>
        <w:ind w:left="2340" w:hanging="360"/>
      </w:pPr>
      <w:rPr/>
    </w:lvl>
    <w:lvl w:ilvl="4">
      <w:start w:val="1"/>
      <w:numFmt w:val="lowerLetter"/>
      <w:lvlText w:val="%5."/>
      <w:lvlJc w:val="left"/>
      <w:pPr>
        <w:ind w:left="3060" w:hanging="360"/>
      </w:pPr>
      <w:rPr/>
    </w:lvl>
    <w:lvl w:ilvl="5">
      <w:start w:val="1"/>
      <w:numFmt w:val="lowerRoman"/>
      <w:lvlText w:val="%6."/>
      <w:lvlJc w:val="right"/>
      <w:pPr>
        <w:ind w:left="3780" w:hanging="180"/>
      </w:pPr>
      <w:rPr/>
    </w:lvl>
    <w:lvl w:ilvl="6">
      <w:start w:val="1"/>
      <w:numFmt w:val="decimal"/>
      <w:lvlText w:val="%7."/>
      <w:lvlJc w:val="left"/>
      <w:pPr>
        <w:ind w:left="4500" w:hanging="360"/>
      </w:pPr>
      <w:rPr/>
    </w:lvl>
    <w:lvl w:ilvl="7">
      <w:start w:val="1"/>
      <w:numFmt w:val="lowerLetter"/>
      <w:lvlText w:val="%8."/>
      <w:lvlJc w:val="left"/>
      <w:pPr>
        <w:ind w:left="5220" w:hanging="360"/>
      </w:pPr>
      <w:rPr/>
    </w:lvl>
    <w:lvl w:ilvl="8">
      <w:start w:val="1"/>
      <w:numFmt w:val="lowerRoman"/>
      <w:lvlText w:val="%9."/>
      <w:lvlJc w:val="right"/>
      <w:pPr>
        <w:ind w:left="59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i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/>
    </w:lvl>
    <w:lvl w:ilvl="2">
      <w:start w:val="1"/>
      <w:numFmt w:val="lowerRoman"/>
      <w:lvlText w:val="%3."/>
      <w:lvlJc w:val="right"/>
      <w:pPr>
        <w:ind w:left="1620" w:hanging="180"/>
      </w:pPr>
      <w:rPr/>
    </w:lvl>
    <w:lvl w:ilvl="3">
      <w:start w:val="1"/>
      <w:numFmt w:val="decimal"/>
      <w:lvlText w:val="%4."/>
      <w:lvlJc w:val="left"/>
      <w:pPr>
        <w:ind w:left="2340" w:hanging="360"/>
      </w:pPr>
      <w:rPr/>
    </w:lvl>
    <w:lvl w:ilvl="4">
      <w:start w:val="1"/>
      <w:numFmt w:val="lowerLetter"/>
      <w:lvlText w:val="%5."/>
      <w:lvlJc w:val="left"/>
      <w:pPr>
        <w:ind w:left="3060" w:hanging="360"/>
      </w:pPr>
      <w:rPr/>
    </w:lvl>
    <w:lvl w:ilvl="5">
      <w:start w:val="1"/>
      <w:numFmt w:val="lowerRoman"/>
      <w:lvlText w:val="%6."/>
      <w:lvlJc w:val="right"/>
      <w:pPr>
        <w:ind w:left="3780" w:hanging="180"/>
      </w:pPr>
      <w:rPr/>
    </w:lvl>
    <w:lvl w:ilvl="6">
      <w:start w:val="1"/>
      <w:numFmt w:val="decimal"/>
      <w:lvlText w:val="%7."/>
      <w:lvlJc w:val="left"/>
      <w:pPr>
        <w:ind w:left="4500" w:hanging="360"/>
      </w:pPr>
      <w:rPr/>
    </w:lvl>
    <w:lvl w:ilvl="7">
      <w:start w:val="1"/>
      <w:numFmt w:val="lowerLetter"/>
      <w:lvlText w:val="%8."/>
      <w:lvlJc w:val="left"/>
      <w:pPr>
        <w:ind w:left="5220" w:hanging="360"/>
      </w:pPr>
      <w:rPr/>
    </w:lvl>
    <w:lvl w:ilvl="8">
      <w:start w:val="1"/>
      <w:numFmt w:val="lowerRoman"/>
      <w:lvlText w:val="%9."/>
      <w:lvlJc w:val="right"/>
      <w:pPr>
        <w:ind w:left="59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-CZ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EM7C9+a7g9lfkQ+QENzoBvZgUw==">AMUW2mVwHSeKiXndZ/RevEwZeiu3ZxlwxNDu6NLrJZ5QhA6VEfO66+tMVo/qow8PtnliwgTcFo8LSFlphpbWRcTXFOnGZCOIIxCWdjxPmWXInInBb7XRGFeHopfeDRMOz/KAs0HOtR5SZs6DzjoH6Olu5Nj88S9VzLt1BC7B84OTacRzjFF8Itje2XhDEy7AWq6VMmnn6OWKXmp8G0fnt0AOVnieBbOU9NCR1dKuPykTVTUtXEwzKWI=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